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5D" w:rsidRDefault="00396E5D" w:rsidP="00396E5D">
      <w:pPr>
        <w:jc w:val="center"/>
        <w:rPr>
          <w:sz w:val="28"/>
        </w:rPr>
      </w:pPr>
      <w:r>
        <w:rPr>
          <w:noProof/>
          <w:sz w:val="28"/>
          <w:lang w:eastAsia="en-GB"/>
        </w:rPr>
        <w:drawing>
          <wp:inline distT="0" distB="0" distL="0" distR="0">
            <wp:extent cx="791543" cy="4449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urinBevanUniversityHB.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79" t="4644" r="52839" b="4822"/>
                    <a:stretch/>
                  </pic:blipFill>
                  <pic:spPr bwMode="auto">
                    <a:xfrm>
                      <a:off x="0" y="0"/>
                      <a:ext cx="830892" cy="46709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96E5D" w:rsidRPr="007B7E16" w:rsidRDefault="00396E5D" w:rsidP="00396E5D">
      <w:pPr>
        <w:jc w:val="center"/>
        <w:rPr>
          <w:b/>
          <w:sz w:val="28"/>
        </w:rPr>
      </w:pPr>
      <w:r w:rsidRPr="007B7E16">
        <w:rPr>
          <w:b/>
          <w:sz w:val="28"/>
        </w:rPr>
        <w:t>Just In Case (JIC) Bags.</w:t>
      </w:r>
    </w:p>
    <w:p w:rsidR="00396E5D" w:rsidRPr="007B7E16" w:rsidRDefault="00396E5D" w:rsidP="00396E5D">
      <w:pPr>
        <w:rPr>
          <w:b/>
        </w:rPr>
      </w:pPr>
      <w:r w:rsidRPr="007B7E16">
        <w:rPr>
          <w:b/>
        </w:rPr>
        <w:t>What is it?</w:t>
      </w:r>
    </w:p>
    <w:p w:rsidR="007949ED" w:rsidRDefault="007949ED" w:rsidP="007949ED">
      <w:pPr>
        <w:jc w:val="both"/>
      </w:pPr>
      <w:r>
        <w:t>The Just in Case (JIC) service has been running since 2011 and provides improved access to four key medicines for rapid control of breakthrough symptoms in palliative care. Following a multidisciplinary review of the service several chang</w:t>
      </w:r>
      <w:r w:rsidR="009A1E68">
        <w:t>es have been made to the scheme for 2018.</w:t>
      </w:r>
      <w:r>
        <w:t xml:space="preserve">  </w:t>
      </w:r>
    </w:p>
    <w:p w:rsidR="00DF367C" w:rsidRDefault="007949ED" w:rsidP="009A1E68">
      <w:pPr>
        <w:pStyle w:val="ListParagraph"/>
        <w:numPr>
          <w:ilvl w:val="0"/>
          <w:numId w:val="1"/>
        </w:numPr>
        <w:ind w:left="426" w:hanging="426"/>
        <w:jc w:val="both"/>
      </w:pPr>
      <w:r>
        <w:t xml:space="preserve">The JIC now uses a sealed orange bag instead of a </w:t>
      </w:r>
      <w:r w:rsidR="00DF367C">
        <w:t>plastic box.</w:t>
      </w:r>
    </w:p>
    <w:p w:rsidR="007949ED" w:rsidRDefault="00DF367C" w:rsidP="009A1E68">
      <w:pPr>
        <w:pStyle w:val="ListParagraph"/>
        <w:numPr>
          <w:ilvl w:val="0"/>
          <w:numId w:val="1"/>
        </w:numPr>
        <w:ind w:left="426" w:hanging="426"/>
        <w:jc w:val="both"/>
      </w:pPr>
      <w:r>
        <w:t>There’s a choice of medicines from an approved ‘menu’ of drugs.</w:t>
      </w:r>
    </w:p>
    <w:p w:rsidR="00396E51" w:rsidRDefault="009A1E68" w:rsidP="00396E51">
      <w:pPr>
        <w:pStyle w:val="ListParagraph"/>
        <w:numPr>
          <w:ilvl w:val="0"/>
          <w:numId w:val="1"/>
        </w:numPr>
        <w:ind w:left="426" w:hanging="426"/>
        <w:jc w:val="both"/>
      </w:pPr>
      <w:r>
        <w:t xml:space="preserve">Once opened, </w:t>
      </w:r>
      <w:r w:rsidR="00396E51">
        <w:t xml:space="preserve">remaining medicines in the bag </w:t>
      </w:r>
      <w:r>
        <w:t>can</w:t>
      </w:r>
      <w:r w:rsidR="00396E51">
        <w:t xml:space="preserve"> be retained for future use.</w:t>
      </w:r>
    </w:p>
    <w:p w:rsidR="00396E51" w:rsidRPr="007B7E16" w:rsidRDefault="00527E72" w:rsidP="00396E51">
      <w:pPr>
        <w:jc w:val="both"/>
        <w:rPr>
          <w:b/>
        </w:rPr>
      </w:pPr>
      <w:r>
        <w:rPr>
          <w:b/>
        </w:rPr>
        <w:t>Who</w:t>
      </w:r>
    </w:p>
    <w:p w:rsidR="00152345" w:rsidRDefault="00396E51" w:rsidP="00396E51">
      <w:pPr>
        <w:jc w:val="both"/>
      </w:pPr>
      <w:r>
        <w:t xml:space="preserve">A JIC should be considered for any patient with a terminal diagnosis </w:t>
      </w:r>
      <w:r w:rsidR="002C73FE">
        <w:t>and</w:t>
      </w:r>
      <w:r>
        <w:t xml:space="preserve"> a prognosis of 3 months or less. </w:t>
      </w:r>
      <w:bookmarkStart w:id="0" w:name="_GoBack"/>
      <w:bookmarkEnd w:id="0"/>
    </w:p>
    <w:p w:rsidR="00152345" w:rsidRPr="00152345" w:rsidRDefault="00527E72" w:rsidP="00396E51">
      <w:pPr>
        <w:jc w:val="both"/>
        <w:rPr>
          <w:b/>
        </w:rPr>
      </w:pPr>
      <w:r>
        <w:rPr>
          <w:b/>
        </w:rPr>
        <w:t>When</w:t>
      </w:r>
    </w:p>
    <w:p w:rsidR="00396E51" w:rsidRDefault="002C73FE" w:rsidP="00396E51">
      <w:pPr>
        <w:jc w:val="both"/>
      </w:pPr>
      <w:r>
        <w:t xml:space="preserve">It’s expected that a JIC will be initiated before a patient starts on the </w:t>
      </w:r>
      <w:r w:rsidR="00D52CA3">
        <w:t>care decisions tool for the last days of life</w:t>
      </w:r>
      <w:r>
        <w:t xml:space="preserve">. The decision to supply should be based on an agreement between the patient and the prescriber. </w:t>
      </w:r>
    </w:p>
    <w:p w:rsidR="007B7E16" w:rsidRDefault="00527E72" w:rsidP="00396E51">
      <w:pPr>
        <w:jc w:val="both"/>
        <w:rPr>
          <w:b/>
        </w:rPr>
      </w:pPr>
      <w:r>
        <w:rPr>
          <w:b/>
        </w:rPr>
        <w:t>How</w:t>
      </w:r>
    </w:p>
    <w:p w:rsidR="00527E72" w:rsidRPr="007B7E16" w:rsidRDefault="00527E72" w:rsidP="00396E51">
      <w:pPr>
        <w:jc w:val="both"/>
        <w:rPr>
          <w:b/>
        </w:rPr>
      </w:pPr>
      <w:r>
        <w:rPr>
          <w:b/>
        </w:rPr>
        <w:t>Supply</w:t>
      </w:r>
    </w:p>
    <w:p w:rsidR="002C73FE" w:rsidRDefault="007B7E16" w:rsidP="00396E51">
      <w:pPr>
        <w:jc w:val="both"/>
      </w:pPr>
      <w:r>
        <w:t>A menu of drugs allows treatment to be tailored to the individual</w:t>
      </w:r>
      <w:r w:rsidR="002C73FE">
        <w:t xml:space="preserve"> </w:t>
      </w:r>
      <w:r>
        <w:t xml:space="preserve">or to overcome any medicines supply issues. </w:t>
      </w:r>
    </w:p>
    <w:tbl>
      <w:tblPr>
        <w:tblStyle w:val="TableGrid"/>
        <w:tblW w:w="9564" w:type="dxa"/>
        <w:jc w:val="center"/>
        <w:tblLook w:val="04A0"/>
      </w:tblPr>
      <w:tblGrid>
        <w:gridCol w:w="2074"/>
        <w:gridCol w:w="2888"/>
        <w:gridCol w:w="2136"/>
        <w:gridCol w:w="2466"/>
      </w:tblGrid>
      <w:tr w:rsidR="002C73FE" w:rsidRPr="00580052" w:rsidTr="007B7E16">
        <w:trPr>
          <w:trHeight w:val="567"/>
          <w:jc w:val="center"/>
        </w:trPr>
        <w:tc>
          <w:tcPr>
            <w:tcW w:w="2074"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Symptom</w:t>
            </w:r>
          </w:p>
        </w:tc>
        <w:tc>
          <w:tcPr>
            <w:tcW w:w="2888"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Standard JIC</w:t>
            </w:r>
          </w:p>
        </w:tc>
        <w:tc>
          <w:tcPr>
            <w:tcW w:w="2136"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Alternative 1</w:t>
            </w:r>
          </w:p>
        </w:tc>
        <w:tc>
          <w:tcPr>
            <w:tcW w:w="2466"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Alternative 2</w:t>
            </w:r>
          </w:p>
        </w:tc>
      </w:tr>
      <w:tr w:rsidR="002C73FE" w:rsidRPr="00580052" w:rsidTr="007B7E16">
        <w:trPr>
          <w:trHeight w:val="680"/>
          <w:jc w:val="center"/>
        </w:trPr>
        <w:tc>
          <w:tcPr>
            <w:tcW w:w="2074"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Pain</w:t>
            </w:r>
          </w:p>
        </w:tc>
        <w:tc>
          <w:tcPr>
            <w:tcW w:w="2888" w:type="dxa"/>
            <w:vAlign w:val="center"/>
          </w:tcPr>
          <w:p w:rsidR="002C73FE" w:rsidRPr="00174EE4" w:rsidRDefault="002C73FE" w:rsidP="008D11C6">
            <w:pPr>
              <w:jc w:val="center"/>
              <w:rPr>
                <w:rFonts w:ascii="Arial" w:hAnsi="Arial" w:cs="Arial"/>
              </w:rPr>
            </w:pPr>
            <w:r w:rsidRPr="00174EE4">
              <w:rPr>
                <w:rFonts w:ascii="Arial" w:hAnsi="Arial" w:cs="Arial"/>
              </w:rPr>
              <w:t xml:space="preserve">Diamorphine 10mg </w:t>
            </w:r>
            <w:r w:rsidRPr="00174EE4">
              <w:rPr>
                <w:rFonts w:ascii="Arial" w:hAnsi="Arial" w:cs="Arial"/>
                <w:i/>
              </w:rPr>
              <w:t>(x5)</w:t>
            </w:r>
          </w:p>
        </w:tc>
        <w:tc>
          <w:tcPr>
            <w:tcW w:w="2136" w:type="dxa"/>
            <w:vAlign w:val="center"/>
          </w:tcPr>
          <w:p w:rsidR="002C73FE" w:rsidRPr="00174EE4" w:rsidRDefault="002C73FE" w:rsidP="008D11C6">
            <w:pPr>
              <w:jc w:val="center"/>
              <w:rPr>
                <w:rFonts w:ascii="Arial" w:hAnsi="Arial" w:cs="Arial"/>
              </w:rPr>
            </w:pPr>
            <w:r w:rsidRPr="00174EE4">
              <w:rPr>
                <w:rFonts w:ascii="Arial" w:hAnsi="Arial" w:cs="Arial"/>
              </w:rPr>
              <w:t>Morphine 10mg</w:t>
            </w:r>
          </w:p>
          <w:p w:rsidR="002C73FE" w:rsidRPr="00174EE4" w:rsidRDefault="002C73FE" w:rsidP="008D11C6">
            <w:pPr>
              <w:jc w:val="center"/>
              <w:rPr>
                <w:rFonts w:ascii="Arial" w:hAnsi="Arial" w:cs="Arial"/>
                <w:i/>
              </w:rPr>
            </w:pPr>
            <w:r w:rsidRPr="00174EE4">
              <w:rPr>
                <w:rFonts w:ascii="Arial" w:hAnsi="Arial" w:cs="Arial"/>
                <w:i/>
              </w:rPr>
              <w:t>(x5)</w:t>
            </w:r>
          </w:p>
        </w:tc>
        <w:tc>
          <w:tcPr>
            <w:tcW w:w="2466" w:type="dxa"/>
            <w:vAlign w:val="center"/>
          </w:tcPr>
          <w:p w:rsidR="002C73FE" w:rsidRPr="00174EE4" w:rsidRDefault="002C73FE" w:rsidP="008D11C6">
            <w:pPr>
              <w:jc w:val="center"/>
              <w:rPr>
                <w:rFonts w:ascii="Arial" w:hAnsi="Arial" w:cs="Arial"/>
              </w:rPr>
            </w:pPr>
            <w:r w:rsidRPr="00174EE4">
              <w:rPr>
                <w:rFonts w:ascii="Arial" w:hAnsi="Arial" w:cs="Arial"/>
              </w:rPr>
              <w:t>Oxycodone 10mg/ml (</w:t>
            </w:r>
            <w:r w:rsidRPr="00174EE4">
              <w:rPr>
                <w:rFonts w:ascii="Arial" w:hAnsi="Arial" w:cs="Arial"/>
                <w:i/>
              </w:rPr>
              <w:t>x5)</w:t>
            </w:r>
          </w:p>
        </w:tc>
      </w:tr>
      <w:tr w:rsidR="002C73FE" w:rsidRPr="00580052" w:rsidTr="007B7E16">
        <w:trPr>
          <w:trHeight w:val="680"/>
          <w:jc w:val="center"/>
        </w:trPr>
        <w:tc>
          <w:tcPr>
            <w:tcW w:w="2074"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Nausea / Vomiting</w:t>
            </w:r>
          </w:p>
        </w:tc>
        <w:tc>
          <w:tcPr>
            <w:tcW w:w="2888" w:type="dxa"/>
            <w:vAlign w:val="center"/>
          </w:tcPr>
          <w:p w:rsidR="002C73FE" w:rsidRPr="00174EE4" w:rsidRDefault="002C73FE" w:rsidP="008D11C6">
            <w:pPr>
              <w:jc w:val="center"/>
              <w:rPr>
                <w:rFonts w:ascii="Arial" w:hAnsi="Arial" w:cs="Arial"/>
              </w:rPr>
            </w:pPr>
            <w:proofErr w:type="spellStart"/>
            <w:r w:rsidRPr="00174EE4">
              <w:rPr>
                <w:rFonts w:ascii="Arial" w:hAnsi="Arial" w:cs="Arial"/>
              </w:rPr>
              <w:t>Cyclizine</w:t>
            </w:r>
            <w:proofErr w:type="spellEnd"/>
            <w:r w:rsidRPr="00174EE4">
              <w:rPr>
                <w:rFonts w:ascii="Arial" w:hAnsi="Arial" w:cs="Arial"/>
              </w:rPr>
              <w:t xml:space="preserve"> 50mg/ml </w:t>
            </w:r>
            <w:r w:rsidRPr="00174EE4">
              <w:rPr>
                <w:rFonts w:ascii="Arial" w:hAnsi="Arial" w:cs="Arial"/>
                <w:i/>
              </w:rPr>
              <w:t>(x5)</w:t>
            </w:r>
          </w:p>
        </w:tc>
        <w:tc>
          <w:tcPr>
            <w:tcW w:w="2136" w:type="dxa"/>
            <w:vAlign w:val="center"/>
          </w:tcPr>
          <w:p w:rsidR="002C73FE" w:rsidRPr="00174EE4" w:rsidRDefault="002C73FE" w:rsidP="008D11C6">
            <w:pPr>
              <w:jc w:val="center"/>
              <w:rPr>
                <w:rFonts w:ascii="Arial" w:hAnsi="Arial" w:cs="Arial"/>
              </w:rPr>
            </w:pPr>
            <w:r w:rsidRPr="00174EE4">
              <w:rPr>
                <w:rFonts w:ascii="Arial" w:hAnsi="Arial" w:cs="Arial"/>
              </w:rPr>
              <w:t xml:space="preserve">Haloperidol 5mg/ml </w:t>
            </w:r>
            <w:r w:rsidRPr="00174EE4">
              <w:rPr>
                <w:rFonts w:ascii="Arial" w:hAnsi="Arial" w:cs="Arial"/>
                <w:i/>
              </w:rPr>
              <w:t>(x5)</w:t>
            </w:r>
          </w:p>
        </w:tc>
        <w:tc>
          <w:tcPr>
            <w:tcW w:w="2466" w:type="dxa"/>
            <w:vAlign w:val="center"/>
          </w:tcPr>
          <w:p w:rsidR="002C73FE" w:rsidRPr="00174EE4" w:rsidRDefault="002C73FE" w:rsidP="008D11C6">
            <w:pPr>
              <w:jc w:val="center"/>
              <w:rPr>
                <w:rFonts w:ascii="Arial" w:hAnsi="Arial" w:cs="Arial"/>
              </w:rPr>
            </w:pPr>
            <w:proofErr w:type="spellStart"/>
            <w:r w:rsidRPr="00174EE4">
              <w:rPr>
                <w:rFonts w:ascii="Arial" w:hAnsi="Arial" w:cs="Arial"/>
              </w:rPr>
              <w:t>Levomepromazine</w:t>
            </w:r>
            <w:proofErr w:type="spellEnd"/>
            <w:r w:rsidRPr="00174EE4">
              <w:rPr>
                <w:rFonts w:ascii="Arial" w:hAnsi="Arial" w:cs="Arial"/>
              </w:rPr>
              <w:t xml:space="preserve"> 25mg/ml </w:t>
            </w:r>
            <w:r w:rsidRPr="00174EE4">
              <w:rPr>
                <w:rFonts w:ascii="Arial" w:hAnsi="Arial" w:cs="Arial"/>
                <w:i/>
              </w:rPr>
              <w:t>(x5)</w:t>
            </w:r>
          </w:p>
        </w:tc>
      </w:tr>
      <w:tr w:rsidR="002C73FE" w:rsidRPr="00580052" w:rsidTr="007B7E16">
        <w:trPr>
          <w:trHeight w:val="680"/>
          <w:jc w:val="center"/>
        </w:trPr>
        <w:tc>
          <w:tcPr>
            <w:tcW w:w="2074"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Respiratory</w:t>
            </w:r>
          </w:p>
        </w:tc>
        <w:tc>
          <w:tcPr>
            <w:tcW w:w="2888" w:type="dxa"/>
            <w:vAlign w:val="center"/>
          </w:tcPr>
          <w:p w:rsidR="002C73FE" w:rsidRPr="00174EE4" w:rsidRDefault="002C73FE" w:rsidP="008D11C6">
            <w:pPr>
              <w:jc w:val="center"/>
              <w:rPr>
                <w:rFonts w:ascii="Arial" w:hAnsi="Arial" w:cs="Arial"/>
              </w:rPr>
            </w:pPr>
            <w:r w:rsidRPr="00174EE4">
              <w:rPr>
                <w:rFonts w:ascii="Arial" w:hAnsi="Arial" w:cs="Arial"/>
              </w:rPr>
              <w:t xml:space="preserve">Hyoscine </w:t>
            </w:r>
            <w:proofErr w:type="spellStart"/>
            <w:r w:rsidRPr="00174EE4">
              <w:rPr>
                <w:rFonts w:ascii="Arial" w:hAnsi="Arial" w:cs="Arial"/>
              </w:rPr>
              <w:t>Hydrobromide</w:t>
            </w:r>
            <w:proofErr w:type="spellEnd"/>
          </w:p>
          <w:p w:rsidR="002C73FE" w:rsidRPr="00174EE4" w:rsidRDefault="002C73FE" w:rsidP="008D11C6">
            <w:pPr>
              <w:jc w:val="center"/>
              <w:rPr>
                <w:rFonts w:ascii="Arial" w:hAnsi="Arial" w:cs="Arial"/>
              </w:rPr>
            </w:pPr>
            <w:r w:rsidRPr="00174EE4">
              <w:rPr>
                <w:rFonts w:ascii="Arial" w:hAnsi="Arial" w:cs="Arial"/>
              </w:rPr>
              <w:t xml:space="preserve">400mcg/ml  </w:t>
            </w:r>
            <w:r w:rsidRPr="00174EE4">
              <w:rPr>
                <w:rFonts w:ascii="Arial" w:hAnsi="Arial" w:cs="Arial"/>
                <w:i/>
              </w:rPr>
              <w:t>(x5)</w:t>
            </w:r>
          </w:p>
        </w:tc>
        <w:tc>
          <w:tcPr>
            <w:tcW w:w="2136" w:type="dxa"/>
            <w:vAlign w:val="center"/>
          </w:tcPr>
          <w:p w:rsidR="002C73FE" w:rsidRPr="00174EE4" w:rsidRDefault="002C73FE" w:rsidP="008D11C6">
            <w:pPr>
              <w:jc w:val="center"/>
              <w:rPr>
                <w:rFonts w:ascii="Arial" w:hAnsi="Arial" w:cs="Arial"/>
              </w:rPr>
            </w:pPr>
            <w:proofErr w:type="spellStart"/>
            <w:r w:rsidRPr="00174EE4">
              <w:rPr>
                <w:rFonts w:ascii="Arial" w:hAnsi="Arial" w:cs="Arial"/>
              </w:rPr>
              <w:t>Glycopyrronium</w:t>
            </w:r>
            <w:proofErr w:type="spellEnd"/>
            <w:r w:rsidRPr="00174EE4">
              <w:rPr>
                <w:rFonts w:ascii="Arial" w:hAnsi="Arial" w:cs="Arial"/>
              </w:rPr>
              <w:t xml:space="preserve"> 200mcg/ml </w:t>
            </w:r>
            <w:r w:rsidRPr="00174EE4">
              <w:rPr>
                <w:rFonts w:ascii="Arial" w:hAnsi="Arial" w:cs="Arial"/>
                <w:i/>
              </w:rPr>
              <w:t>(x5)</w:t>
            </w:r>
          </w:p>
        </w:tc>
        <w:tc>
          <w:tcPr>
            <w:tcW w:w="2466" w:type="dxa"/>
            <w:vAlign w:val="center"/>
          </w:tcPr>
          <w:p w:rsidR="002C73FE" w:rsidRPr="00174EE4" w:rsidRDefault="002C73FE" w:rsidP="008D11C6">
            <w:pPr>
              <w:jc w:val="center"/>
              <w:rPr>
                <w:rFonts w:ascii="Arial" w:hAnsi="Arial" w:cs="Arial"/>
              </w:rPr>
            </w:pPr>
          </w:p>
        </w:tc>
      </w:tr>
      <w:tr w:rsidR="002C73FE" w:rsidRPr="00580052" w:rsidTr="007B7E16">
        <w:trPr>
          <w:trHeight w:val="680"/>
          <w:jc w:val="center"/>
        </w:trPr>
        <w:tc>
          <w:tcPr>
            <w:tcW w:w="2074"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Anxiety</w:t>
            </w:r>
          </w:p>
        </w:tc>
        <w:tc>
          <w:tcPr>
            <w:tcW w:w="2888" w:type="dxa"/>
            <w:vAlign w:val="center"/>
          </w:tcPr>
          <w:p w:rsidR="002C73FE" w:rsidRPr="00174EE4" w:rsidRDefault="002C73FE" w:rsidP="008D11C6">
            <w:pPr>
              <w:jc w:val="center"/>
              <w:rPr>
                <w:rFonts w:ascii="Arial" w:hAnsi="Arial" w:cs="Arial"/>
              </w:rPr>
            </w:pPr>
            <w:r w:rsidRPr="00174EE4">
              <w:rPr>
                <w:rFonts w:ascii="Arial" w:hAnsi="Arial" w:cs="Arial"/>
              </w:rPr>
              <w:t xml:space="preserve">Midazolam 10mg/2ml </w:t>
            </w:r>
            <w:r w:rsidRPr="00174EE4">
              <w:rPr>
                <w:rFonts w:ascii="Arial" w:hAnsi="Arial" w:cs="Arial"/>
                <w:i/>
              </w:rPr>
              <w:t>(x5)</w:t>
            </w:r>
          </w:p>
        </w:tc>
        <w:tc>
          <w:tcPr>
            <w:tcW w:w="2136" w:type="dxa"/>
            <w:vAlign w:val="center"/>
          </w:tcPr>
          <w:p w:rsidR="002C73FE" w:rsidRPr="00174EE4" w:rsidRDefault="002C73FE" w:rsidP="008D11C6">
            <w:pPr>
              <w:jc w:val="center"/>
              <w:rPr>
                <w:rFonts w:ascii="Arial" w:hAnsi="Arial" w:cs="Arial"/>
              </w:rPr>
            </w:pPr>
          </w:p>
        </w:tc>
        <w:tc>
          <w:tcPr>
            <w:tcW w:w="2466" w:type="dxa"/>
            <w:vAlign w:val="center"/>
          </w:tcPr>
          <w:p w:rsidR="002C73FE" w:rsidRPr="00174EE4" w:rsidRDefault="002C73FE" w:rsidP="008D11C6">
            <w:pPr>
              <w:jc w:val="center"/>
              <w:rPr>
                <w:rFonts w:ascii="Arial" w:hAnsi="Arial" w:cs="Arial"/>
              </w:rPr>
            </w:pPr>
          </w:p>
        </w:tc>
      </w:tr>
      <w:tr w:rsidR="002C73FE" w:rsidRPr="00580052" w:rsidTr="007B7E16">
        <w:trPr>
          <w:trHeight w:val="680"/>
          <w:jc w:val="center"/>
        </w:trPr>
        <w:tc>
          <w:tcPr>
            <w:tcW w:w="2074" w:type="dxa"/>
            <w:shd w:val="clear" w:color="auto" w:fill="375587"/>
            <w:vAlign w:val="center"/>
          </w:tcPr>
          <w:p w:rsidR="002C73FE" w:rsidRPr="00174EE4" w:rsidRDefault="002C73FE" w:rsidP="008D11C6">
            <w:pPr>
              <w:jc w:val="center"/>
              <w:rPr>
                <w:rFonts w:ascii="Arial" w:hAnsi="Arial" w:cs="Arial"/>
                <w:b/>
                <w:color w:val="FFFFFF" w:themeColor="background1"/>
              </w:rPr>
            </w:pPr>
            <w:r w:rsidRPr="00174EE4">
              <w:rPr>
                <w:rFonts w:ascii="Arial" w:hAnsi="Arial" w:cs="Arial"/>
                <w:b/>
                <w:color w:val="FFFFFF" w:themeColor="background1"/>
              </w:rPr>
              <w:t>Other</w:t>
            </w:r>
          </w:p>
        </w:tc>
        <w:tc>
          <w:tcPr>
            <w:tcW w:w="2888" w:type="dxa"/>
            <w:vAlign w:val="center"/>
          </w:tcPr>
          <w:p w:rsidR="002C73FE" w:rsidRPr="00174EE4" w:rsidRDefault="002C73FE" w:rsidP="008D11C6">
            <w:pPr>
              <w:jc w:val="center"/>
              <w:rPr>
                <w:rFonts w:ascii="Arial" w:hAnsi="Arial" w:cs="Arial"/>
              </w:rPr>
            </w:pPr>
            <w:r w:rsidRPr="00174EE4">
              <w:rPr>
                <w:rFonts w:ascii="Arial" w:hAnsi="Arial" w:cs="Arial"/>
              </w:rPr>
              <w:t>Water For Injection</w:t>
            </w:r>
          </w:p>
          <w:p w:rsidR="002C73FE" w:rsidRPr="00174EE4" w:rsidRDefault="002C73FE" w:rsidP="008D11C6">
            <w:pPr>
              <w:jc w:val="center"/>
              <w:rPr>
                <w:rFonts w:ascii="Arial" w:hAnsi="Arial" w:cs="Arial"/>
              </w:rPr>
            </w:pPr>
            <w:r w:rsidRPr="00174EE4">
              <w:rPr>
                <w:rFonts w:ascii="Arial" w:hAnsi="Arial" w:cs="Arial"/>
              </w:rPr>
              <w:t xml:space="preserve">10ml </w:t>
            </w:r>
            <w:r w:rsidRPr="00174EE4">
              <w:rPr>
                <w:rFonts w:ascii="Arial" w:hAnsi="Arial" w:cs="Arial"/>
                <w:i/>
              </w:rPr>
              <w:t>(x5)</w:t>
            </w:r>
          </w:p>
        </w:tc>
        <w:tc>
          <w:tcPr>
            <w:tcW w:w="2136" w:type="dxa"/>
            <w:vAlign w:val="center"/>
          </w:tcPr>
          <w:p w:rsidR="002C73FE" w:rsidRPr="00174EE4" w:rsidRDefault="002C73FE" w:rsidP="008D11C6">
            <w:pPr>
              <w:jc w:val="center"/>
              <w:rPr>
                <w:rFonts w:ascii="Arial" w:hAnsi="Arial" w:cs="Arial"/>
              </w:rPr>
            </w:pPr>
          </w:p>
        </w:tc>
        <w:tc>
          <w:tcPr>
            <w:tcW w:w="2466" w:type="dxa"/>
            <w:vAlign w:val="center"/>
          </w:tcPr>
          <w:p w:rsidR="002C73FE" w:rsidRPr="00174EE4" w:rsidRDefault="002C73FE" w:rsidP="008D11C6">
            <w:pPr>
              <w:jc w:val="center"/>
              <w:rPr>
                <w:rFonts w:ascii="Arial" w:hAnsi="Arial" w:cs="Arial"/>
              </w:rPr>
            </w:pPr>
          </w:p>
        </w:tc>
      </w:tr>
    </w:tbl>
    <w:p w:rsidR="004F1B7F" w:rsidRDefault="004F1B7F" w:rsidP="00152345">
      <w:pPr>
        <w:jc w:val="both"/>
      </w:pPr>
    </w:p>
    <w:p w:rsidR="00DC7400" w:rsidRDefault="007B7E16" w:rsidP="00152345">
      <w:pPr>
        <w:jc w:val="both"/>
      </w:pPr>
      <w:r w:rsidRPr="007B7E16">
        <w:t xml:space="preserve">A </w:t>
      </w:r>
      <w:r>
        <w:t xml:space="preserve">JIC should be prescribed by the GP using a standard WP10. One drug for each symptom should be chosen from the </w:t>
      </w:r>
      <w:r w:rsidR="00152345">
        <w:t>‘menu’</w:t>
      </w:r>
      <w:r>
        <w:t>. A starting dose for each medicine will need to be included to satisfy Controlled Drugs regulations</w:t>
      </w:r>
      <w:r w:rsidR="00152345">
        <w:t xml:space="preserve"> and to facilitate administration</w:t>
      </w:r>
      <w:r w:rsidR="004F1B7F">
        <w:t xml:space="preserve">. </w:t>
      </w:r>
    </w:p>
    <w:p w:rsidR="00DC7400" w:rsidRDefault="00DC7400" w:rsidP="00152345">
      <w:pPr>
        <w:jc w:val="both"/>
      </w:pPr>
      <w:r>
        <w:lastRenderedPageBreak/>
        <w:t>Continued Over</w:t>
      </w:r>
      <w:r w:rsidR="007B7E16">
        <w:t xml:space="preserve"> </w:t>
      </w:r>
    </w:p>
    <w:p w:rsidR="007B7E16" w:rsidRDefault="004F1B7F" w:rsidP="00152345">
      <w:pPr>
        <w:jc w:val="both"/>
      </w:pPr>
      <w:r>
        <w:t xml:space="preserve">Ideally an All Wales Medication Record Chart </w:t>
      </w:r>
      <w:r w:rsidR="000A3DC3">
        <w:t xml:space="preserve">(AWMRC) </w:t>
      </w:r>
      <w:r>
        <w:t xml:space="preserve">will be partially completed by the GP at the same time as the prescription (A blank chart will be included at the pharmacy if not completed at the time of prescribing). On presentation at a community pharmacy, a pharmacist will make the JIC available within 72 hours. The pharmacist will record the earliest expiry of the JIC medication and contact the prescriber to assess a resupply should this date become due. </w:t>
      </w:r>
    </w:p>
    <w:p w:rsidR="000A3DC3" w:rsidRDefault="00527E72" w:rsidP="00152345">
      <w:pPr>
        <w:jc w:val="both"/>
        <w:rPr>
          <w:b/>
        </w:rPr>
      </w:pPr>
      <w:r>
        <w:rPr>
          <w:b/>
        </w:rPr>
        <w:t>Where</w:t>
      </w:r>
      <w:r w:rsidR="000A3DC3" w:rsidRPr="000A3DC3">
        <w:rPr>
          <w:b/>
        </w:rPr>
        <w:t xml:space="preserve"> </w:t>
      </w:r>
    </w:p>
    <w:p w:rsidR="000A3DC3" w:rsidRDefault="000A3DC3" w:rsidP="00152345">
      <w:pPr>
        <w:jc w:val="both"/>
      </w:pPr>
      <w:r>
        <w:t xml:space="preserve">Patients should keep the bag in a safe but accessible place in the home. If nursing notes are in place the location of the JIC should be included. </w:t>
      </w:r>
    </w:p>
    <w:p w:rsidR="000A3DC3" w:rsidRDefault="000A3DC3" w:rsidP="00152345">
      <w:pPr>
        <w:jc w:val="both"/>
        <w:rPr>
          <w:b/>
        </w:rPr>
      </w:pPr>
      <w:r w:rsidRPr="000A3DC3">
        <w:rPr>
          <w:b/>
        </w:rPr>
        <w:t>Administration</w:t>
      </w:r>
    </w:p>
    <w:p w:rsidR="000A3DC3" w:rsidRDefault="000A3DC3" w:rsidP="00152345">
      <w:pPr>
        <w:jc w:val="both"/>
      </w:pPr>
      <w:r>
        <w:t xml:space="preserve">The JIC affords improved access to medication for the treatment of breakthrough symptoms.  Medication in the JIC can either be personally administered by a prescriber or by a nurse in accordance with the instructions contained in the AWMRC. To expedite treatment, an AWMRC should ideally be completed at the time of prescribing and include suitable starting doses for the patient. A copy of the </w:t>
      </w:r>
      <w:r w:rsidR="00527E72">
        <w:t xml:space="preserve">All Wales Symptom Control Guidance is included in the pack. </w:t>
      </w:r>
    </w:p>
    <w:p w:rsidR="00527E72" w:rsidRDefault="00527E72" w:rsidP="00152345">
      <w:pPr>
        <w:jc w:val="both"/>
      </w:pPr>
      <w:r>
        <w:t xml:space="preserve">Ongoing need for symptom control should be met by normal or appropriate anticipatory prescribing practice. Any medication remaining in the JIC after opening should be included in the patient’s “home stock” for future use if appropriate. </w:t>
      </w:r>
    </w:p>
    <w:p w:rsidR="00527E72" w:rsidRDefault="00527E72" w:rsidP="00152345">
      <w:pPr>
        <w:jc w:val="both"/>
        <w:rPr>
          <w:b/>
        </w:rPr>
      </w:pPr>
      <w:r>
        <w:rPr>
          <w:b/>
        </w:rPr>
        <w:t>Disposal</w:t>
      </w:r>
    </w:p>
    <w:p w:rsidR="00527E72" w:rsidRDefault="00527E72" w:rsidP="00152345">
      <w:pPr>
        <w:jc w:val="both"/>
      </w:pPr>
      <w:r>
        <w:t>Any medicines contained in the pack which are no longer required should be returned to the pharmacy for disposal. Community pharmacies dispensing the packs will record the earliest date of expiry for the medicines within the pack and advise the GP of any packs that may be due to expire to assess if another is needed.</w:t>
      </w:r>
    </w:p>
    <w:p w:rsidR="00527E72" w:rsidRDefault="00527E72" w:rsidP="00152345">
      <w:pPr>
        <w:jc w:val="both"/>
        <w:rPr>
          <w:b/>
        </w:rPr>
      </w:pPr>
      <w:r>
        <w:rPr>
          <w:b/>
        </w:rPr>
        <w:t>Record Keeping</w:t>
      </w:r>
    </w:p>
    <w:p w:rsidR="00527E72" w:rsidRPr="00527E72" w:rsidRDefault="00527E72" w:rsidP="00152345">
      <w:pPr>
        <w:jc w:val="both"/>
      </w:pPr>
      <w:r w:rsidRPr="00527E72">
        <w:t xml:space="preserve">Medication </w:t>
      </w:r>
      <w:r>
        <w:t xml:space="preserve">administered within the home must be recorded on the AWMRC. The community pharmacy will record the issue of the packs.  </w:t>
      </w:r>
    </w:p>
    <w:p w:rsidR="00527E72" w:rsidRPr="00527E72" w:rsidRDefault="00527E72" w:rsidP="00152345">
      <w:pPr>
        <w:jc w:val="both"/>
        <w:rPr>
          <w:b/>
        </w:rPr>
      </w:pPr>
    </w:p>
    <w:p w:rsidR="00527E72" w:rsidRPr="000A3DC3" w:rsidRDefault="00527E72" w:rsidP="00152345">
      <w:pPr>
        <w:jc w:val="both"/>
      </w:pPr>
    </w:p>
    <w:p w:rsidR="00546C8F" w:rsidRPr="00386EFD" w:rsidRDefault="00546C8F" w:rsidP="00DC7400">
      <w:pPr>
        <w:jc w:val="both"/>
      </w:pPr>
    </w:p>
    <w:p w:rsidR="000E03F7" w:rsidRDefault="000E03F7"/>
    <w:sectPr w:rsidR="000E03F7" w:rsidSect="007B7E16">
      <w:pgSz w:w="11906" w:h="16838" w:code="9"/>
      <w:pgMar w:top="426"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716"/>
    <w:multiLevelType w:val="hybridMultilevel"/>
    <w:tmpl w:val="B118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03F7"/>
    <w:rsid w:val="000A3DC3"/>
    <w:rsid w:val="000E03F7"/>
    <w:rsid w:val="00152345"/>
    <w:rsid w:val="00174EE4"/>
    <w:rsid w:val="00241F20"/>
    <w:rsid w:val="002C73FE"/>
    <w:rsid w:val="00336578"/>
    <w:rsid w:val="00386EFD"/>
    <w:rsid w:val="00396E51"/>
    <w:rsid w:val="00396E5D"/>
    <w:rsid w:val="003D781E"/>
    <w:rsid w:val="0042038A"/>
    <w:rsid w:val="004C490F"/>
    <w:rsid w:val="004F1B7F"/>
    <w:rsid w:val="00527E72"/>
    <w:rsid w:val="00546C8F"/>
    <w:rsid w:val="005D22A3"/>
    <w:rsid w:val="005D6B98"/>
    <w:rsid w:val="005E6218"/>
    <w:rsid w:val="0068293B"/>
    <w:rsid w:val="006E6C75"/>
    <w:rsid w:val="007949ED"/>
    <w:rsid w:val="007B7E16"/>
    <w:rsid w:val="00836EEF"/>
    <w:rsid w:val="008A7131"/>
    <w:rsid w:val="009A1E68"/>
    <w:rsid w:val="009C5BE7"/>
    <w:rsid w:val="009D3823"/>
    <w:rsid w:val="00AC7E32"/>
    <w:rsid w:val="00C47FBB"/>
    <w:rsid w:val="00D52CA3"/>
    <w:rsid w:val="00DC7400"/>
    <w:rsid w:val="00DF367C"/>
    <w:rsid w:val="00DF5F68"/>
    <w:rsid w:val="00F40BB6"/>
    <w:rsid w:val="00FA02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31"/>
    <w:rPr>
      <w:rFonts w:ascii="Segoe UI" w:hAnsi="Segoe UI" w:cs="Segoe UI"/>
      <w:sz w:val="18"/>
      <w:szCs w:val="18"/>
    </w:rPr>
  </w:style>
  <w:style w:type="character" w:styleId="CommentReference">
    <w:name w:val="annotation reference"/>
    <w:rsid w:val="0042038A"/>
    <w:rPr>
      <w:sz w:val="16"/>
      <w:szCs w:val="16"/>
    </w:rPr>
  </w:style>
  <w:style w:type="paragraph" w:styleId="CommentText">
    <w:name w:val="annotation text"/>
    <w:basedOn w:val="Normal"/>
    <w:link w:val="CommentTextChar"/>
    <w:rsid w:val="0042038A"/>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42038A"/>
    <w:rPr>
      <w:rFonts w:ascii="Times New Roman" w:eastAsia="Times New Roman" w:hAnsi="Times New Roman"/>
      <w:sz w:val="20"/>
      <w:szCs w:val="20"/>
      <w:lang w:eastAsia="en-GB"/>
    </w:rPr>
  </w:style>
  <w:style w:type="table" w:customStyle="1" w:styleId="GridTable5DarkAccent1">
    <w:name w:val="Grid Table 5 Dark Accent 1"/>
    <w:basedOn w:val="TableNormal"/>
    <w:uiPriority w:val="50"/>
    <w:rsid w:val="0042038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
    <w:name w:val="Grid Table 4"/>
    <w:basedOn w:val="TableNormal"/>
    <w:uiPriority w:val="49"/>
    <w:rsid w:val="0042038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038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42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Evans (Aneurin Bevan UHB - Pharmacy)</dc:creator>
  <cp:lastModifiedBy>el025928</cp:lastModifiedBy>
  <cp:revision>2</cp:revision>
  <cp:lastPrinted>2018-02-23T17:31:00Z</cp:lastPrinted>
  <dcterms:created xsi:type="dcterms:W3CDTF">2018-04-30T14:16:00Z</dcterms:created>
  <dcterms:modified xsi:type="dcterms:W3CDTF">2018-04-30T14:16:00Z</dcterms:modified>
</cp:coreProperties>
</file>